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54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203" w:line="259"/>
        <w:ind w:right="9" w:left="10" w:hanging="1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ADATVÉDELMI TÁJÉKOZTATÓ 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6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amelyben tájékoztatjuk Önt, mint honlapunk látogatóját, valamint szolgáltatásaink igénybe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vev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ét társaságunk adatkezelési és adatvédelmi szabályairól.  </w:t>
      </w:r>
    </w:p>
    <w:p>
      <w:pPr>
        <w:spacing w:before="0" w:after="172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Milyen alapelveket követünk adatkezelésünk során?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6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78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az adatkezelése során alábbi alapelveket követi:  </w:t>
      </w:r>
    </w:p>
    <w:p>
      <w:pPr>
        <w:numPr>
          <w:ilvl w:val="0"/>
          <w:numId w:val="10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személyes adatokat jogszer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űen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tisztességesen, valamint az Ön számára átláthatóan kezeljük.  </w:t>
      </w:r>
    </w:p>
    <w:p>
      <w:pPr>
        <w:numPr>
          <w:ilvl w:val="0"/>
          <w:numId w:val="10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személyes adatokat csak meghatározott, egyértelm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jogszer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 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élból gy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űjtj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ük és azokat nem kezeljük a célokkal össze nem egyeztethet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ódon.  </w:t>
      </w:r>
    </w:p>
    <w:p>
      <w:pPr>
        <w:numPr>
          <w:ilvl w:val="0"/>
          <w:numId w:val="10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általunk gy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űjt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ött és kezelt személyes adatok az adatkezelés céljai szempontjából megfelel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őek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relevánsak, valamint csak a szükségesre korlátozódnak.  </w:t>
      </w:r>
    </w:p>
    <w:p>
      <w:pPr>
        <w:numPr>
          <w:ilvl w:val="0"/>
          <w:numId w:val="10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minden észszer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 int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ézkedést megtesz annak érdekében, hogy az általunk kezelt adatok pontosak és szükség esetén naprakészek legyenek, a pontatlan személyes adatokat haladéktalanul töröljük vagy helyesbítjük.  </w:t>
      </w:r>
    </w:p>
    <w:p>
      <w:pPr>
        <w:numPr>
          <w:ilvl w:val="0"/>
          <w:numId w:val="10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személyes adatokat olyan formában tároljuk, hogy Ön csak a személyes adatok kezelése céljainak eléréséhez szükséges ideig legyen azonosítható.  </w:t>
      </w:r>
    </w:p>
    <w:p>
      <w:pPr>
        <w:numPr>
          <w:ilvl w:val="0"/>
          <w:numId w:val="10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megfelel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technikai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szervezési intézkedések alkalmazásával biztosítjuk a személyes adatok megfelel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biztons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ágát az adatok jogosulatlan vagy jogellenes kezelésével, véletlen elvesztésével, megsemmisítésével vagy károsodásával szemben.  </w:t>
      </w:r>
    </w:p>
    <w:p>
      <w:pPr>
        <w:spacing w:before="0" w:after="174" w:line="254"/>
        <w:ind w:right="0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Társaságunk az Ön személyes adatait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59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Ön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őzetes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ájékoztatáson alapuló és önkéntes hozzájárulása alapján és csakis a szükséges mértékben és minden esetben célhoz kötötten kezeljük, azaz gy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űjtj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ük, rögzítjük, rendszerezzük, tároljuk és felhasználjuk.   </w:t>
      </w:r>
    </w:p>
    <w:p>
      <w:pPr>
        <w:numPr>
          <w:ilvl w:val="0"/>
          <w:numId w:val="12"/>
        </w:numPr>
        <w:spacing w:before="0" w:after="62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egyes esetekben az Ön adatainak kezelése jogszabályi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írásokon alapul és kötelez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jellegű, ilyen esetekben erre a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ényre külön felhívjuk az Ön figyelmét.  </w:t>
      </w:r>
    </w:p>
    <w:p>
      <w:pPr>
        <w:numPr>
          <w:ilvl w:val="0"/>
          <w:numId w:val="12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illetve bizonyos esetekben az Ön személyes adatainak kezeléséhez Társaságunknak, vagy pedig harmadik személynek f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űződik jogos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érdeke, például honlapunk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ödtetése, fejlesztése és biztonsága.  </w:t>
      </w:r>
    </w:p>
    <w:p>
      <w:pPr>
        <w:spacing w:before="0" w:after="168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5" w:line="254"/>
        <w:ind w:right="0" w:left="355" w:hanging="1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Kik vagyunk?  </w:t>
      </w:r>
    </w:p>
    <w:p>
      <w:pPr>
        <w:spacing w:before="0" w:after="5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14" w:type="dxa"/>
      </w:tblPr>
      <w:tblGrid>
        <w:gridCol w:w="2657"/>
        <w:gridCol w:w="884"/>
        <w:gridCol w:w="3600"/>
      </w:tblGrid>
      <w:tr>
        <w:trPr>
          <w:trHeight w:val="597" w:hRule="auto"/>
          <w:jc w:val="left"/>
        </w:trPr>
        <w:tc>
          <w:tcPr>
            <w:tcW w:w="354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center" w:pos="2833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Társaságunk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neve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:   </w:t>
              <w:tab/>
              <w:t xml:space="preserve"> 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Great Magnet Logistic Kft.</w:t>
            </w:r>
          </w:p>
        </w:tc>
      </w:tr>
      <w:tr>
        <w:trPr>
          <w:trHeight w:val="631" w:hRule="auto"/>
          <w:jc w:val="left"/>
        </w:trPr>
        <w:tc>
          <w:tcPr>
            <w:tcW w:w="3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Társaságunk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székhelye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:   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165 Budapest, Hunyadv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 utca 39/C 2/31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ab/>
              <w:t xml:space="preserve"> </w:t>
            </w:r>
          </w:p>
        </w:tc>
      </w:tr>
      <w:tr>
        <w:trPr>
          <w:trHeight w:val="365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Társaságunk honlapja: 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ttps://treesincloud.hu</w:t>
              </w:r>
            </w:hyperlink>
          </w:p>
        </w:tc>
      </w:tr>
      <w:tr>
        <w:trPr>
          <w:trHeight w:val="413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2125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Kapcsolattartás:   </w:t>
              <w:tab/>
              <w:t xml:space="preserve"> 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email, telefon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682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2125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Postacímünk:    </w:t>
              <w:tab/>
              <w:t xml:space="preserve"> 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165 Budapest, Hunyadv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 utca 39/C 2/31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ab/>
              <w:t xml:space="preserve"> </w:t>
            </w:r>
          </w:p>
        </w:tc>
      </w:tr>
      <w:tr>
        <w:trPr>
          <w:trHeight w:val="365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2125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Telefonszámunk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:   </w:t>
              <w:tab/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+36 70 756 5014</w:t>
            </w:r>
          </w:p>
        </w:tc>
      </w:tr>
      <w:tr>
        <w:trPr>
          <w:trHeight w:val="413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2125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 címünk:   </w:t>
              <w:tab/>
              <w:t xml:space="preserve"> 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hello@treesincloud.hu</w:t>
            </w:r>
          </w:p>
        </w:tc>
      </w:tr>
      <w:tr>
        <w:trPr>
          <w:trHeight w:val="413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2125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Adószámunk:   </w:t>
              <w:tab/>
              <w:t xml:space="preserve"> 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24169279-1-42</w:t>
            </w:r>
          </w:p>
        </w:tc>
      </w:tr>
      <w:tr>
        <w:trPr>
          <w:trHeight w:val="331" w:hRule="auto"/>
          <w:jc w:val="left"/>
        </w:trPr>
        <w:tc>
          <w:tcPr>
            <w:tcW w:w="2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Cégjegyzékszámunk:   </w:t>
            </w:r>
          </w:p>
        </w:tc>
        <w:tc>
          <w:tcPr>
            <w:tcW w:w="8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175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01 09 993763</w:t>
            </w:r>
          </w:p>
        </w:tc>
      </w:tr>
    </w:tbl>
    <w:p>
      <w:pPr>
        <w:spacing w:before="0" w:after="0" w:line="259"/>
        <w:ind w:right="0" w:left="355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355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a GDPR 37. cikke alapján nem köteles adatvédelmi tisztvisel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kinevez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ésére. </w:t>
      </w:r>
    </w:p>
    <w:p>
      <w:pPr>
        <w:spacing w:before="0" w:after="188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tárhely szolgáltatójának neve, címe és elérhet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ége: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CLUSTER INFORMATIKA Kft,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info@clusterit.hu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az adatok kezelése során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ügyfeleink színvonalas kiszolgálása érdekében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az al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ábbi adatfeldolgozókat veszi igénybe:  </w:t>
      </w:r>
    </w:p>
    <w:p>
      <w:pPr>
        <w:spacing w:before="0" w:after="0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3075"/>
        <w:gridCol w:w="2991"/>
        <w:gridCol w:w="3157"/>
      </w:tblGrid>
      <w:tr>
        <w:trPr>
          <w:trHeight w:val="890" w:hRule="auto"/>
          <w:jc w:val="left"/>
        </w:trPr>
        <w:tc>
          <w:tcPr>
            <w:tcW w:w="3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96" w:line="259"/>
              <w:ind w:right="0" w:left="168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59"/>
              <w:ind w:right="0" w:left="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NÉV  </w:t>
            </w:r>
          </w:p>
        </w:tc>
        <w:tc>
          <w:tcPr>
            <w:tcW w:w="2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96" w:line="259"/>
              <w:ind w:right="0" w:left="172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59"/>
              <w:ind w:right="0" w:left="1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CÍM  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96" w:line="259"/>
              <w:ind w:right="0" w:left="159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59"/>
              <w:ind w:right="0" w:left="1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TEVÉKENYSÉG  </w:t>
            </w:r>
          </w:p>
        </w:tc>
      </w:tr>
      <w:tr>
        <w:trPr>
          <w:trHeight w:val="480" w:hRule="auto"/>
          <w:jc w:val="left"/>
        </w:trPr>
        <w:tc>
          <w:tcPr>
            <w:tcW w:w="3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  </w:t>
            </w:r>
          </w:p>
        </w:tc>
        <w:tc>
          <w:tcPr>
            <w:tcW w:w="2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6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  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IT szolgáltatás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58" w:line="259"/>
        <w:ind w:right="-79" w:left="-10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01" w:line="254"/>
        <w:ind w:right="0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Direkt marketing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és/vagy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hírlevél szolgáltatásunkkal kapcsolatos adatfeldolgozók: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9" w:line="259"/>
        <w:ind w:right="-31" w:left="-10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object w:dxaOrig="8875" w:dyaOrig="3119">
          <v:rect xmlns:o="urn:schemas-microsoft-com:office:office" xmlns:v="urn:schemas-microsoft-com:vml" id="rectole0000000000" style="width:443.750000pt;height:155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Amennyiben az adatfeldolgozóink körét módosítjuk, a változásokat átvezetjük jelen tájékoztatónkban.   </w:t>
      </w:r>
    </w:p>
    <w:p>
      <w:pPr>
        <w:spacing w:before="0" w:after="5" w:line="254"/>
        <w:ind w:right="0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Az általunk kezelt adatok:    </w:t>
      </w:r>
    </w:p>
    <w:p>
      <w:pPr>
        <w:spacing w:before="0" w:after="0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19" w:type="dxa"/>
      </w:tblPr>
      <w:tblGrid>
        <w:gridCol w:w="1858"/>
        <w:gridCol w:w="1781"/>
        <w:gridCol w:w="1781"/>
        <w:gridCol w:w="1791"/>
        <w:gridCol w:w="1865"/>
      </w:tblGrid>
      <w:tr>
        <w:trPr>
          <w:trHeight w:val="1241" w:hRule="auto"/>
          <w:jc w:val="left"/>
        </w:trPr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Tevékenység megnevezése és az </w:t>
              <w:tab/>
              <w:t xml:space="preserve">adatkezelés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célja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Jogalap 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Kezelt adatok 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őtartam </w:t>
            </w:r>
          </w:p>
        </w:tc>
        <w:tc>
          <w:tcPr>
            <w:tcW w:w="1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Nyilvántartási szám </w:t>
            </w:r>
          </w:p>
        </w:tc>
      </w:tr>
      <w:tr>
        <w:trPr>
          <w:trHeight w:val="4292" w:hRule="auto"/>
          <w:jc w:val="left"/>
        </w:trPr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Honlap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látogatása </w:t>
            </w:r>
          </w:p>
          <w:p>
            <w:pPr>
              <w:spacing w:before="0" w:after="2" w:line="250"/>
              <w:ind w:right="53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Cél a honlap rendeltetésszer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és színvonalas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ödésének biztosítása, a szolgáltatásaink min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égének ellen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ése és javítása, a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rosszindulatú, weboldalunkat támadó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Társaságunk jogos érdeke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tabs>
                <w:tab w:val="center" w:pos="817" w:leader="none"/>
                <w:tab w:val="right" w:pos="1619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IP </w:t>
              <w:tab/>
              <w:t xml:space="preserve">cím </w:t>
              <w:tab/>
              <w:t xml:space="preserve">a </w:t>
            </w:r>
          </w:p>
          <w:p>
            <w:pPr>
              <w:spacing w:before="0" w:after="4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látogatás </w:t>
            </w:r>
          </w:p>
          <w:p>
            <w:pPr>
              <w:tabs>
                <w:tab w:val="right" w:pos="1619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őpontja </w:t>
              <w:tab/>
              <w:t xml:space="preserve">a </w:t>
            </w:r>
          </w:p>
          <w:p>
            <w:pPr>
              <w:spacing w:before="0" w:after="0" w:line="250"/>
              <w:ind w:right="54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meglátogatott aloldalak adatai, az Ön által használt operációs 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rendszer és böngész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ípusa 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 nap </w:t>
            </w:r>
          </w:p>
        </w:tc>
        <w:tc>
          <w:tcPr>
            <w:tcW w:w="1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546" w:hRule="auto"/>
          <w:jc w:val="left"/>
        </w:trPr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2" w:line="25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látogatók beazonosítás, a látogatottság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mérésére, statisztikai célok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4" w:hRule="auto"/>
          <w:jc w:val="left"/>
        </w:trPr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Érdekl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és </w:t>
              <w:tab/>
              <w:t xml:space="preserve">a honlapon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Szerz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és 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ők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észítési jogalap 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Vezetéknév, Keresztnév, </w:t>
              <w:tab/>
              <w:t xml:space="preserve">Email, üzenet 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Oldal törléséig </w:t>
            </w:r>
          </w:p>
        </w:tc>
        <w:tc>
          <w:tcPr>
            <w:tcW w:w="1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1" w:type="dxa"/>
              <w:right w:w="81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53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weboldalunk látogatóinktól csak akkor kérjük személyes adataikat, ha érdekl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ődni szeretn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énk az oldalon.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adatkezeléssel kapcsolatos kérdéseivel Ön az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info@alaplebar.hu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e-mail, illetve postacímen kérhet további tájékoztatást, válaszunkat késedelem nélkül, 20 napon belül (legfeljebb azonban 1 hónapon belül) megküldjük Önnek az Ön által megadott elérhet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égre.    </w:t>
      </w:r>
    </w:p>
    <w:p>
      <w:pPr>
        <w:spacing w:before="0" w:after="16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Mik azok a sütik és hogyan kezeljük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őket?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sütik (cookie-k) olyan kisméret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 adatf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ájlok (továbbiakban: sütik), amelyek a weboldalon keresztül a weboldal használatával kerülnek az Ön számítógépére úgy, hogy azokat az Ön internetes böngész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ője menti le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tárolja el. A leggyakrabban használt internetes böngész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ők (Chrome, Firefox, stb.)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öbbsége alapbeállításként elfogadja és engedélyezi a sütik letöltését és használatát, az viszont már Önt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f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ügg, hogy a böngész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be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állításainak módosításával ezeket visszautasítja vagy letiltja, illetve Ön a már a számítógépen lév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elt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árolt sütiket is tudja törölni.  A sütik használatáról az egyes böngész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ők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úgó” menüpontja nyújt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ővebb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ájékoztatást. 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Vannak olyan sütik, amelyek nem igénylik az Ön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őzetes hozz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ájárulását. Ezekr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weblapunk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els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átogatásának megkezdésekor ad rövid tájékoztatást, ilyenek például a hitelesítési, multimédia-lejátszó, terheléskiegyenlít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ő, a felhaszn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álói felület testreszabását segít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munkamenet-s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ütik, valamint a felhasználó-központú biztonsági sütik.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hozzájárulást igényl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ütikr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amennyiben az adatkezelés már az oldal felkeresésével megkezd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ődik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ársaságunk az els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átogatás megkezdésekor tájékoztatja Önt és kérjük az Ön hozzájárulását. 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nem alkalmaz és nem is engedélyez olyan sütiket, amelyek segítségével harmadik személyek az Ön hozzájárulása nélkül adatot gy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űjthetnek.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sütik elfogadása nem kötelez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ő, a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ársaságunk azonban nem vállal azért 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éget, ha sütik engedélyezése hiányában a weblapunk esetleg nem az elvárt módon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ödik.  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Milyen sütiket alkalmazunk?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1457"/>
        <w:gridCol w:w="812"/>
        <w:gridCol w:w="1488"/>
        <w:gridCol w:w="2122"/>
        <w:gridCol w:w="1889"/>
        <w:gridCol w:w="1532"/>
      </w:tblGrid>
      <w:tr>
        <w:trPr>
          <w:trHeight w:val="444" w:hRule="auto"/>
          <w:jc w:val="left"/>
        </w:trPr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137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Típus  </w:t>
            </w:r>
          </w:p>
        </w:tc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13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Név  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Hozzájárulás 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12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Leírás  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12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Cél  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0" w:left="29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Érvényesség  </w:t>
            </w:r>
          </w:p>
        </w:tc>
      </w:tr>
      <w:tr>
        <w:trPr>
          <w:trHeight w:val="2078" w:hRule="auto"/>
          <w:jc w:val="left"/>
        </w:trPr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rendszer sütik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0" w:left="31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0" w:left="29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nem igényel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a webes alkalmazás </w:t>
            </w:r>
          </w:p>
          <w:p>
            <w:pPr>
              <w:spacing w:before="0" w:after="0" w:line="24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űzfal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ának session sütije, amely a </w:t>
            </w:r>
          </w:p>
          <w:p>
            <w:pPr>
              <w:spacing w:before="0" w:after="92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kereszthivatkozások elleni visszaélés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" w:line="259"/>
              <w:ind w:right="0" w:left="29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megel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őz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ésére szol-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12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gál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spacing w:before="0" w:after="14" w:line="259"/>
              <w:ind w:right="0" w:left="38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honlap 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ödé-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sének biztosítása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böngész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 session v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ége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33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Mit kell tudni még a honlapunkkal kapcsolatos adatkezelésünkr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ől?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személyes adatokat Ön önkéntesen bocsátja rendelkezésünkre a regisztráció illetve a Társaságunkkal kapcsolattartása során, éppen ezért kérjük, hogy adatai közlésekor fokozatosan ügyeljen azok valódiságára, helyességére és pontosságára, mert ezekért Ön 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ős. A helytelen, pontatlan vagy hi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ányos adat akadálya lehet a szolgáltatásaink igénybevételének.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Amennyiben Ön nem a saját, hanem más személy személyes adatait adja meg, úgy vélelmezzük, hogy Ön az ehhez szükséges felhatalmazással rendelkezik.   </w:t>
      </w:r>
    </w:p>
    <w:p>
      <w:pPr>
        <w:spacing w:before="0" w:after="17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az adatkezeléshez adott hozzájárulását bármikor ingyenesen visszavonhatja  </w:t>
      </w:r>
    </w:p>
    <w:p>
      <w:pPr>
        <w:numPr>
          <w:ilvl w:val="0"/>
          <w:numId w:val="142"/>
        </w:numPr>
        <w:spacing w:before="0" w:after="56" w:line="253"/>
        <w:ind w:right="0" w:left="374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regisztráció törlésével,  </w:t>
      </w:r>
    </w:p>
    <w:p>
      <w:pPr>
        <w:numPr>
          <w:ilvl w:val="0"/>
          <w:numId w:val="142"/>
        </w:numPr>
        <w:spacing w:before="0" w:after="56" w:line="253"/>
        <w:ind w:right="0" w:left="374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adatkezeléshez hozzájárulás visszavonásával, illetve  </w:t>
      </w:r>
    </w:p>
    <w:p>
      <w:pPr>
        <w:numPr>
          <w:ilvl w:val="0"/>
          <w:numId w:val="142"/>
        </w:numPr>
        <w:spacing w:before="0" w:after="113" w:line="250"/>
        <w:ind w:right="0" w:left="374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</w:t>
        <w:tab/>
        <w:t xml:space="preserve">regisztráció </w:t>
        <w:tab/>
        <w:t xml:space="preserve">során </w:t>
        <w:tab/>
        <w:t xml:space="preserve">feltétlen </w:t>
        <w:tab/>
        <w:t xml:space="preserve">kitöltend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</w:t>
        <w:tab/>
        <w:t xml:space="preserve">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ármely </w:t>
        <w:tab/>
        <w:t xml:space="preserve">adat </w:t>
        <w:tab/>
        <w:t xml:space="preserve">kezeléséhez </w:t>
        <w:tab/>
        <w:t xml:space="preserve">vagy felhasználásához való hozzájárulás visszavonásával vagy zárolásának kérésével.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hozzájárulás visszavonásának regisztrálását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technikai okokb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30 napos határid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ővel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állaljuk, azonban felhívjuk a figyelmét arra, hogy jogi kötelezettségünk teljesítése vagy jogos érdekeink érvényesítése céljából bizonyos adatokat a hozzájárulás visszavonása után is kezelhetünk.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Megtéveszt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élyes adat használata esetén, illetve ha valamelyik látogatónk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űncselekm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ényt követ el vagy Társaságunk rendszerét támadja, az adott látogató regisztrációjának megszüntetésével egyidej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űleg adatait halad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éktalanul töröljük, illetve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ükség esetén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meg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őrizz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ük azokat a polgári jogi 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 megállapításának vagy büntet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elj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árás lefolytatásának 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őtartama alatt.  </w:t>
      </w:r>
    </w:p>
    <w:p>
      <w:pPr>
        <w:spacing w:before="0" w:after="172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Mit kell tudni direkt marketing és hírlevél célú adatkezelésünkr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ől?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a regisztráció során tett nyilatkozatával vagy kés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őbb, h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írlevél és/vagy direkt marketing regisztráció felületén tárolt személyes adatainak módosításával (azaz hozzájárulási szándéka egyértelm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 kinyilv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ánításával) hozzájárulását adhatja ahhoz, hogy az Ön személyes adatait marketing célokra is felhasználhassuk. Ebben az esetben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 hozz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ájárulás visszavonásáig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adatait direkt marketing és/vagy hírlevél küldés céljából is kezeljük és az Ön részére reklám- és egyéb küldeményeket, valamint tájékoztatókat és ajánlatokat küldünk és/vagy hírlevelet továbbítunk (Grtv. 6. §).  </w:t>
      </w:r>
    </w:p>
    <w:p>
      <w:pPr>
        <w:spacing w:before="0" w:after="101" w:line="254"/>
        <w:ind w:right="0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Ön a hozzájárulását a direkt marketing és a hírlevél tekintetében együttesen vagy különkülön is megadhatja illetve azt/azokat ingyenesen és bármikor visszavonhatja.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regisztráció törlését minden esetben a hozzájárulás visszavonásának tekintjük. A direkt marketing és/vagy hírlevél célú adatkezeléshez hozzájárulás visszavonását nem értelmezzük egyúttal a honlapunkkal kapcsolatos adatkezelési hozzájárulás visszavonásának. Ez hogy van? mit és milyen alapon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ünk meg,  ha a hírlevél  hozzájárulást visszavonta? A hozzájárulások esetében minden hozzájárulás egy adott célra szól, így a holnapon regisztrálás és a hírlevélre jelentkezés két külön cél, két külön adatbázis, a kett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nem f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ügghet össze.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egyes hozzájárulások visszavonásának illetve lemondásnak a regisztrálását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technikai okokb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30 napos határid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ővel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állaljuk.   </w:t>
      </w:r>
    </w:p>
    <w:p>
      <w:pPr>
        <w:spacing w:before="0" w:after="176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52"/>
        </w:numPr>
        <w:spacing w:before="0" w:after="101" w:line="254"/>
        <w:ind w:right="0" w:left="705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Mit kell tudni a nyereményjátékokról?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3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kampányjelleggel szervezhet nyereményjátékokat, melyek eseti feltételeit külön szabályzat tartalmazza. Az aktuális akció szabályzata minden esetben megtalálható a honlapunk nyitó oldalán, központi helyen elhelyezett linken.  </w:t>
      </w:r>
    </w:p>
    <w:p>
      <w:pPr>
        <w:spacing w:before="0" w:after="171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56"/>
        </w:numPr>
        <w:spacing w:before="0" w:after="101" w:line="254"/>
        <w:ind w:right="0" w:left="705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Egyéb adatkezelési kérdések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Ön adatait csak jogszabályban meghatározott keretek között továbbíthatjuk, adatfeldolgozóink esetében pedig szerz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éses feltételek kikötésével biztosítjuk, hogy ne használhassák az Ön hozzájárulásával ellentétes célokra az Ön személyes adatait. További információ a 2. pontban található. 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külföldre nem továbbít adatokat. 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bíróság, az ügyészség és más hatóságok (pl. rend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őrs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ég, adóhivatal, Nemzeti Adatvédelmi és Információszabadság Hatóság) tájékoztatás adása, adatok közlése vagy iratok rendelkezésre bocsátása miatt megkereshetik Társaságunkat. Ezekben az esetekben adatszolgáltatási kötelezettségünket teljesítenünk kell, de csak a megkeresés céljának megvalósításához elengedhetetlenül szükséges mértékben.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adatkezelésében és/vagy adatfeldolgozásában részt vev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özrem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munkavállalói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őre meghat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ározott mértékben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titoktart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ási kötelezettség terhe mellett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jogosultak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személyes adatait megismerni.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Ön személyes adatait megfelel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technikai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egyéb intézkedésekkel védjük, valamint biztosítjuk az adatok biztonságát, rendelkezésre állását, továbbá óvjuk azokat a jogosulatlan hozzáférést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megv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áltoztatástól, sérülésekt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illetve nyilv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ánosságra hozataltól és bármilyen egyéb jogosulatlan felhasználástól.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Szervezeti intézkedések keretében épületeinkben ellen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őrizz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ük a fizikai hozzáférést, munkavállalóinkat folyamatosan oktatjuk és a papír alapú dokumentumokat megfelel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édelemmel elzárva tartjuk. A technikai intézkedések keretében titkosítást, jelszóvédelmet és vírusirtó szoftvereket használunk. Felhívjuk azonban a figyelmét arra, hogy az interneten keresztüli adattovábbítás nem tekinthet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teljes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űen biztons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ágos adattovábbításnak. Társaságunk mindent megtesz annak érdekében, hogy a folyamatokat minél biztonságosabbá tegyük, a weblapunkon keresztül történ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adattov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ábbításért azonban nem tudunk teljes 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éget vállalni, ám a Társaságunkhoz beérkezett adatok tekintetében szigorú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írásokat tartunk be az Ön adatainak biztonsága és a jogellenes hozzáférés megakadályozása érdekében.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biztonsági kérdésekkel kapcsolatban kérjük az Ön segítségét abban, hogy gondosan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őrizze meg honlapunkhoz megl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hozz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áférési jelszavát és ezt a jelszót senkivel se ossza meg.  </w:t>
      </w:r>
    </w:p>
    <w:p>
      <w:pPr>
        <w:spacing w:before="0" w:after="16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8.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Melyek az Ön jogai és jogorvoslati lehet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égei?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6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72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az adatkezelésr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  </w:t>
      </w:r>
    </w:p>
    <w:p>
      <w:pPr>
        <w:numPr>
          <w:ilvl w:val="0"/>
          <w:numId w:val="163"/>
        </w:numPr>
        <w:spacing w:before="0" w:after="54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tájékoztatást kérhet,  </w:t>
      </w:r>
    </w:p>
    <w:p>
      <w:pPr>
        <w:numPr>
          <w:ilvl w:val="0"/>
          <w:numId w:val="163"/>
        </w:numPr>
        <w:spacing w:before="0" w:after="46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kérheti az általunk kezelt személyes adataik helyesbítését, módosítását, kiegészítését,   </w:t>
      </w:r>
    </w:p>
    <w:p>
      <w:pPr>
        <w:numPr>
          <w:ilvl w:val="0"/>
          <w:numId w:val="163"/>
        </w:numPr>
        <w:spacing w:before="0" w:after="59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tiltakozhat az adatkezelés ellen és kérheti adatai törlését valamint zárolását (a kötelez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adatkezel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kivételével),   </w:t>
      </w:r>
    </w:p>
    <w:p>
      <w:pPr>
        <w:numPr>
          <w:ilvl w:val="0"/>
          <w:numId w:val="163"/>
        </w:numPr>
        <w:spacing w:before="0" w:after="58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bíróság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őtt jogorvoslattal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élhet,   </w:t>
      </w:r>
    </w:p>
    <w:p>
      <w:pPr>
        <w:numPr>
          <w:ilvl w:val="0"/>
          <w:numId w:val="163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</w:t>
        <w:tab/>
        <w:t xml:space="preserve">felügyel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</w:t>
        <w:tab/>
        <w:t xml:space="preserve">hat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óságnál  </w:t>
        <w:tab/>
        <w:t xml:space="preserve">panaszt  </w:t>
        <w:tab/>
        <w:t xml:space="preserve">tehet, illetve eljárást  </w:t>
        <w:tab/>
        <w:t xml:space="preserve">kezdeményezhet (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https://naih.hu/panaszuegyintezes-rendje.html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).  </w:t>
      </w:r>
    </w:p>
    <w:p>
      <w:pPr>
        <w:spacing w:before="0" w:after="169" w:line="254"/>
        <w:ind w:right="0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Felügyel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 Hat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óság: Nemzeti Adatvédelmi és Információszabadság Hatóság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69"/>
        </w:numPr>
        <w:spacing w:before="0" w:after="55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Székhely: 1125 Budapest, Szilágyi Erzsébet fasor 22/c.  </w:t>
      </w:r>
    </w:p>
    <w:p>
      <w:pPr>
        <w:numPr>
          <w:ilvl w:val="0"/>
          <w:numId w:val="169"/>
        </w:numPr>
        <w:spacing w:before="0" w:after="55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Levelezési cím: 1530 Budapest, Pf.: 5.  </w:t>
      </w:r>
    </w:p>
    <w:p>
      <w:pPr>
        <w:numPr>
          <w:ilvl w:val="0"/>
          <w:numId w:val="169"/>
        </w:numPr>
        <w:spacing w:before="0" w:after="63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Telefon: +36 (1) 391-1400  </w:t>
      </w:r>
    </w:p>
    <w:p>
      <w:pPr>
        <w:numPr>
          <w:ilvl w:val="0"/>
          <w:numId w:val="169"/>
        </w:numPr>
        <w:spacing w:before="0" w:after="56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Fax: +36 (1) 391-1410  </w:t>
      </w:r>
    </w:p>
    <w:p>
      <w:pPr>
        <w:numPr>
          <w:ilvl w:val="0"/>
          <w:numId w:val="169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E-mail:ugyfelszolgalat@naih.hu Honlap:https://naih.hu/  </w:t>
      </w:r>
    </w:p>
    <w:p>
      <w:pPr>
        <w:spacing w:before="0" w:after="17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Az Ön kérelmére tájékoztatást adunk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az Ön általunk kezelt, illetve az általunk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vagy a megb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ízott adatfeldolgozónk által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feldolgozott   </w:t>
      </w:r>
    </w:p>
    <w:p>
      <w:pPr>
        <w:numPr>
          <w:ilvl w:val="0"/>
          <w:numId w:val="174"/>
        </w:numPr>
        <w:spacing w:before="0" w:after="56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adatairól,   </w:t>
      </w:r>
    </w:p>
    <w:p>
      <w:pPr>
        <w:numPr>
          <w:ilvl w:val="0"/>
          <w:numId w:val="174"/>
        </w:numPr>
        <w:spacing w:before="0" w:after="5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azok forrásáról,   </w:t>
      </w:r>
    </w:p>
    <w:p>
      <w:pPr>
        <w:numPr>
          <w:ilvl w:val="0"/>
          <w:numId w:val="174"/>
        </w:numPr>
        <w:spacing w:before="0" w:after="56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adatkezelés céljáról és jogalapjáról,   </w:t>
      </w:r>
    </w:p>
    <w:p>
      <w:pPr>
        <w:numPr>
          <w:ilvl w:val="0"/>
          <w:numId w:val="174"/>
        </w:numPr>
        <w:spacing w:before="0" w:after="59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áról, ha pedig ez nem lehetséges, ezen 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őtartam meghat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ározásának szempontjairól,  </w:t>
      </w:r>
    </w:p>
    <w:p>
      <w:pPr>
        <w:numPr>
          <w:ilvl w:val="0"/>
          <w:numId w:val="174"/>
        </w:numPr>
        <w:spacing w:before="0" w:after="62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</w:t>
        <w:tab/>
        <w:t xml:space="preserve">adatfeldolgozóink </w:t>
        <w:tab/>
        <w:t xml:space="preserve">nevér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</w:t>
        <w:tab/>
        <w:t xml:space="preserve">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ímér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</w:t>
        <w:tab/>
        <w:t xml:space="preserve">az </w:t>
        <w:tab/>
        <w:t xml:space="preserve">adatkezeléssel </w:t>
        <w:tab/>
        <w:t xml:space="preserve">összefügg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tev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ékenységükr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  </w:t>
      </w:r>
    </w:p>
    <w:p>
      <w:pPr>
        <w:numPr>
          <w:ilvl w:val="0"/>
          <w:numId w:val="174"/>
        </w:numPr>
        <w:spacing w:before="0" w:after="60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adatvédelmi incidensek körülményeir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hat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ásairól és az elhárításukra valamint megel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ésükre tett intézkedéseinkr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tov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ábbá   </w:t>
      </w:r>
    </w:p>
    <w:p>
      <w:pPr>
        <w:numPr>
          <w:ilvl w:val="0"/>
          <w:numId w:val="174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Ön személyes adatainak továbbítása esetén az adattovábbítás jogalapjáról és címzettjér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kérelem benyújtásától számított legrövidebb 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alatt, 10 napon bel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ül (legfeljebb azonban 1 hónapon belül) adjuk meg tájékoztatásunkat. A tájékoztatás ingyenes kivéve akkor, ha Ön a folyó évben azonos adatkörre vonatkozóan tájékoztatási kérelmet már nyújtott be hozzánk. Az Ön által már megfizetett költségtérítést visszatérítjük abban az esetben, ha az adatokat jogellenesen kezeltük vagy a tájékoztatás kérése helyesbítéshez vezetett. A tájékoztatást csak törvényben foglalt esetekben tagadhatjuk meg jogszabályi hely megjelölésével, valamint a bírósági jogorvoslat illetve a Hatósághoz fordulás lehet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égér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ájékoztatással.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a személyes adatok helyesbítésr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árolásról, megjelölésr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törlésr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Önt, továbbá mindazokat értesíti, akiknek korábban az adatot adatkezelés céljára továbbította, kivéve akkor, ha az értesítés elmaradása az Ön jogos érdekét nem sérti.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Amennyiben az Ön helyesbítés, zárolás vagy törlés iránti kérelmét nem teljesítjük, a kérelem kézhezvételét követ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10 napon bel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ül (legfeljebb azonban 1 hónapon belül) írásban vagy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 hozzájárulásával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elektronikus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úton közöljünk elutasításunk indokait és tájékoztatjuk Önt a bírósági jogorvoslat, továbbá a Hatósághoz fordulás lehet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égér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Amennyiben Ön tiltakozik a személyes adatai kezelése ellen, a tiltakozást a kérelem benyújtásától számított legrövidebb 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őn bel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ül, 10 napon belül (legfeljebb azonban 1 hónapon belül) megvizsgáljuk és a döntésünkr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Önt írásban tájékoztatjuk. Amennyiben úgy döntöttünk, hogy az Ön tiltakozása megalapozott, abban az esetben az adatkezelést - beleértve a további adatfelvételt és adattovábbítást is - megszüntetjük és az adatokat zároljuk, valamint a tiltakozásról, továbbá az annak alapján tett intézkedésekr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értesítjük mindazokat, akik részére a tiltakozással érintett személyes adatot korábban továbbítottuk, és akik kötelesek intézkedni a tiltakozási jog érvényesítése érdekében.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Abban az esetben megtagadjuk a kérés teljesítését, ha bizonyítjuk, hogy az adatkezelést olyan kényszerít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erejű jogos okok indokolj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ák, amelyek els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őbbs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éget élveznek az Ön érdekeivel, jogaival és szabadságaival szemben, vagy amelyek jogi igények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őterjeszt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éséhez, érvényesítéséhez vagy védelméhez kapcsolódnak. Amennyiben Ön a döntésünkkel nem ért egyet, illetve ha elmulasztjuk a határid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őt, a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öntés közlését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ől, illetve a hat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utols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 napjától számított 30 napon belül Ön bírósághoz fordulhat.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adatvédelmi perek elbírálása a törvényszék hatáskörébe tartozik, a per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érintett választása szerint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érintett lakhelye vagy tartózkodási helye szerinti törvényszék 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őtt is megind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ítható. Külföldi állampolgár a lakóhelye szerint illetékes felügyeleti hatósághoz is fordulhat panasszal.  </w:t>
      </w:r>
    </w:p>
    <w:p>
      <w:pPr>
        <w:spacing w:before="0" w:after="130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Kérjük Önt, hogy miel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őtt a fel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ügyeleti hatósághoz vagy bírósághoz fordulna panaszával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egyeztetés és a felmerült probléma minél gyorsabb megoldása érdekében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keresse meg 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ársaságunkat.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9.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Melyek a f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őbb ir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ányadó jogszabályok tevékenységünkre?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78" w:line="259"/>
        <w:ind w:right="0" w:left="73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86"/>
        </w:numPr>
        <w:spacing w:before="0" w:after="133" w:line="240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természetes személyeknek a személyes adatok kezelésér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ől sz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óló az Európai Parlament és a Tanács (EU) 2016/679 rendelete (GDPR)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86"/>
        </w:numPr>
        <w:spacing w:before="0" w:after="6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információs önrendelkezési jogról és az információszabadságról szóló 2011. évi CXII. </w:t>
      </w:r>
    </w:p>
    <w:p>
      <w:pPr>
        <w:spacing w:before="0" w:after="107" w:line="253"/>
        <w:ind w:right="0" w:left="74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törvény - (Info tv.)  </w:t>
      </w:r>
    </w:p>
    <w:p>
      <w:pPr>
        <w:numPr>
          <w:ilvl w:val="0"/>
          <w:numId w:val="189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Polgári Törvénykönyvr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óló 2013. évi V. törvény (Ptk.)  </w:t>
      </w:r>
    </w:p>
    <w:p>
      <w:pPr>
        <w:numPr>
          <w:ilvl w:val="0"/>
          <w:numId w:val="189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elektronikus kereskedelmi szolgáltatások, valamint az információs társadalommal összefügg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szolg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áltatások egyes kérdéseir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óló 2001. évi CVIII. törvény - (Eker tv.)  </w:t>
      </w:r>
    </w:p>
    <w:p>
      <w:pPr>
        <w:numPr>
          <w:ilvl w:val="0"/>
          <w:numId w:val="189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az elektronikus hírközlésr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óló 2003. évi C. törvény - (Ehtv)  </w:t>
      </w:r>
    </w:p>
    <w:p>
      <w:pPr>
        <w:numPr>
          <w:ilvl w:val="0"/>
          <w:numId w:val="189"/>
        </w:numPr>
        <w:spacing w:before="0" w:after="107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fogyasztóvédelemr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óló 1997. évi CLV. törvény (Fogyv tv.)  </w:t>
      </w:r>
    </w:p>
    <w:p>
      <w:pPr>
        <w:numPr>
          <w:ilvl w:val="0"/>
          <w:numId w:val="189"/>
        </w:numPr>
        <w:spacing w:before="0" w:after="133" w:line="240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panaszokról és a közérdek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ű bejelent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ésekr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ől sz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óló 2013. évi CLXV. törvény. (Pktv.)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89"/>
        </w:numPr>
        <w:spacing w:before="0" w:after="6" w:line="253"/>
        <w:ind w:right="0" w:left="73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gazdasági reklámtevékenység alapvet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felt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ételeir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 egyes korlátairól szóló 2008.  </w:t>
      </w:r>
    </w:p>
    <w:p>
      <w:pPr>
        <w:spacing w:before="0" w:after="107" w:line="253"/>
        <w:ind w:right="0" w:left="74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évi XLVIII. törvény (Grtv.)  </w:t>
      </w:r>
    </w:p>
    <w:p>
      <w:pPr>
        <w:spacing w:before="0" w:after="170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1" w:line="254"/>
        <w:ind w:right="0" w:left="355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10.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Adatkezelési tájékoztató módosítása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96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Társaságunk fenntartja magának a jogot jelen Adatkezelési tájékoztató módosítására, amelyr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érintetteket megfelel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ódon tájékoztatja. Az adatkezeléssel kapcsolatos információk közzététele a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ttps://treesincloud.hu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weboldalon történik.  </w:t>
      </w:r>
    </w:p>
    <w:p>
      <w:pPr>
        <w:spacing w:before="0" w:after="99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Dátum  </w:t>
      </w:r>
    </w:p>
    <w:p>
      <w:pPr>
        <w:spacing w:before="0" w:after="107" w:line="253"/>
        <w:ind w:right="0" w:left="9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Budapest 202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0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94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96" w:line="259"/>
        <w:ind w:right="0" w:left="1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59"/>
        <w:ind w:right="0" w:left="22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0">
    <w:abstractNumId w:val="54"/>
  </w:num>
  <w:num w:numId="12">
    <w:abstractNumId w:val="48"/>
  </w:num>
  <w:num w:numId="142">
    <w:abstractNumId w:val="42"/>
  </w:num>
  <w:num w:numId="152">
    <w:abstractNumId w:val="36"/>
  </w:num>
  <w:num w:numId="156">
    <w:abstractNumId w:val="30"/>
  </w:num>
  <w:num w:numId="163">
    <w:abstractNumId w:val="24"/>
  </w:num>
  <w:num w:numId="169">
    <w:abstractNumId w:val="18"/>
  </w:num>
  <w:num w:numId="174">
    <w:abstractNumId w:val="12"/>
  </w:num>
  <w:num w:numId="186">
    <w:abstractNumId w:val="6"/>
  </w:num>
  <w:num w:numId="1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Mode="External" Target="https://naih.hu/panaszuegyintezes-rendje.html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treesincloud.hu/" Id="docRId0" Type="http://schemas.openxmlformats.org/officeDocument/2006/relationships/hyperlink" /><Relationship Target="media/image0.wmf" Id="docRId2" Type="http://schemas.openxmlformats.org/officeDocument/2006/relationships/image" /><Relationship TargetMode="External" Target="https://treesincloud.hu/" Id="docRId4" Type="http://schemas.openxmlformats.org/officeDocument/2006/relationships/hyperlink" /><Relationship Target="styles.xml" Id="docRId6" Type="http://schemas.openxmlformats.org/officeDocument/2006/relationships/styles" /></Relationships>
</file>